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A6D" w:rsidRPr="001530D7" w:rsidRDefault="00AB6AEF">
      <w:pPr>
        <w:pStyle w:val="N01Y"/>
        <w:rPr>
          <w:rFonts w:ascii="Arial" w:hAnsi="Arial" w:cs="Arial"/>
          <w:sz w:val="24"/>
          <w:szCs w:val="24"/>
          <w:lang w:val="sr-Latn-ME"/>
        </w:rPr>
      </w:pPr>
      <w:r w:rsidRPr="001530D7">
        <w:rPr>
          <w:rFonts w:ascii="Arial" w:hAnsi="Arial" w:cs="Arial"/>
          <w:sz w:val="24"/>
          <w:szCs w:val="24"/>
          <w:lang w:val="sr-Latn-ME"/>
        </w:rPr>
        <w:t>589.</w:t>
      </w:r>
    </w:p>
    <w:p w:rsidR="00236A6D" w:rsidRPr="001530D7" w:rsidRDefault="00AB6AEF">
      <w:pPr>
        <w:pStyle w:val="N02Y"/>
        <w:rPr>
          <w:rFonts w:ascii="Arial" w:hAnsi="Arial" w:cs="Arial"/>
          <w:sz w:val="24"/>
          <w:szCs w:val="24"/>
          <w:lang w:val="sr-Latn-ME"/>
        </w:rPr>
      </w:pPr>
      <w:r w:rsidRPr="001530D7">
        <w:rPr>
          <w:rFonts w:ascii="Arial" w:hAnsi="Arial" w:cs="Arial"/>
          <w:sz w:val="24"/>
          <w:szCs w:val="24"/>
          <w:lang w:val="sr-Latn-ME"/>
        </w:rPr>
        <w:t>Na osnovu člana 39 stav 6 Zakona o izgradnji objekata ("Službeni list Crne Gore", broj 19/25), Ministarstvo prostornog planiranja, urbanizma i državne imovine, donijelo je</w:t>
      </w:r>
    </w:p>
    <w:p w:rsidR="00236A6D" w:rsidRPr="001530D7" w:rsidRDefault="00AB6AEF">
      <w:pPr>
        <w:pStyle w:val="N03Y"/>
        <w:rPr>
          <w:rFonts w:ascii="Arial" w:hAnsi="Arial" w:cs="Arial"/>
          <w:sz w:val="24"/>
          <w:szCs w:val="24"/>
          <w:lang w:val="sr-Latn-ME"/>
        </w:rPr>
      </w:pPr>
      <w:r w:rsidRPr="001530D7">
        <w:rPr>
          <w:rFonts w:ascii="Arial" w:hAnsi="Arial" w:cs="Arial"/>
          <w:sz w:val="24"/>
          <w:szCs w:val="24"/>
          <w:lang w:val="sr-Latn-ME"/>
        </w:rPr>
        <w:t>PRAVILNIK</w:t>
      </w:r>
    </w:p>
    <w:p w:rsidR="00236A6D" w:rsidRPr="001530D7" w:rsidRDefault="00AB6AEF">
      <w:pPr>
        <w:pStyle w:val="N03Y"/>
        <w:rPr>
          <w:rFonts w:ascii="Arial" w:hAnsi="Arial" w:cs="Arial"/>
          <w:sz w:val="24"/>
          <w:szCs w:val="24"/>
          <w:lang w:val="sr-Latn-ME"/>
        </w:rPr>
      </w:pPr>
      <w:r w:rsidRPr="001530D7">
        <w:rPr>
          <w:rFonts w:ascii="Arial" w:hAnsi="Arial" w:cs="Arial"/>
          <w:sz w:val="24"/>
          <w:szCs w:val="24"/>
          <w:lang w:val="sr-Latn-ME"/>
        </w:rPr>
        <w:t>O SADRŽINI ELABORATA O PRIPREMNIM RADOVIMA</w:t>
      </w:r>
    </w:p>
    <w:p w:rsidR="00236A6D" w:rsidRPr="001530D7" w:rsidRDefault="00AB6AEF">
      <w:pPr>
        <w:pStyle w:val="N05Y"/>
        <w:rPr>
          <w:rFonts w:ascii="Arial" w:hAnsi="Arial" w:cs="Arial"/>
          <w:lang w:val="sr-Latn-ME"/>
        </w:rPr>
      </w:pPr>
      <w:r w:rsidRPr="001530D7">
        <w:rPr>
          <w:rFonts w:ascii="Arial" w:hAnsi="Arial" w:cs="Arial"/>
          <w:lang w:val="sr-Latn-ME"/>
        </w:rPr>
        <w:t>("Službeni list Crne Gore", br. 045/25 od 13.05.2025)</w:t>
      </w:r>
    </w:p>
    <w:p w:rsidR="00236A6D" w:rsidRPr="001530D7" w:rsidRDefault="00AB6AEF">
      <w:pPr>
        <w:pStyle w:val="C30X"/>
        <w:rPr>
          <w:rFonts w:ascii="Arial" w:hAnsi="Arial" w:cs="Arial"/>
          <w:lang w:val="sr-Latn-ME"/>
        </w:rPr>
      </w:pPr>
      <w:r w:rsidRPr="001530D7">
        <w:rPr>
          <w:rFonts w:ascii="Arial" w:hAnsi="Arial" w:cs="Arial"/>
          <w:lang w:val="sr-Latn-ME"/>
        </w:rPr>
        <w:t>Član 1</w:t>
      </w:r>
    </w:p>
    <w:p w:rsidR="00236A6D" w:rsidRPr="001530D7" w:rsidRDefault="00AB6AEF">
      <w:pPr>
        <w:pStyle w:val="T30X"/>
        <w:rPr>
          <w:rFonts w:ascii="Arial" w:hAnsi="Arial" w:cs="Arial"/>
          <w:sz w:val="24"/>
          <w:szCs w:val="24"/>
          <w:lang w:val="sr-Latn-ME"/>
        </w:rPr>
      </w:pPr>
      <w:r w:rsidRPr="001530D7">
        <w:rPr>
          <w:rFonts w:ascii="Arial" w:hAnsi="Arial" w:cs="Arial"/>
          <w:sz w:val="24"/>
          <w:szCs w:val="24"/>
          <w:lang w:val="sr-Latn-ME"/>
        </w:rPr>
        <w:t>Ovim pravilnikom uređuje se bliži sadržaj elaborata na osnovu kojeg se izvode pripremni radovi.</w:t>
      </w:r>
    </w:p>
    <w:p w:rsidR="00236A6D" w:rsidRPr="001530D7" w:rsidRDefault="00AB6AEF">
      <w:pPr>
        <w:pStyle w:val="C30X"/>
        <w:rPr>
          <w:rFonts w:ascii="Arial" w:hAnsi="Arial" w:cs="Arial"/>
          <w:lang w:val="sr-Latn-ME"/>
        </w:rPr>
      </w:pPr>
      <w:r w:rsidRPr="001530D7">
        <w:rPr>
          <w:rFonts w:ascii="Arial" w:hAnsi="Arial" w:cs="Arial"/>
          <w:lang w:val="sr-Latn-ME"/>
        </w:rPr>
        <w:t>Član 2</w:t>
      </w:r>
    </w:p>
    <w:p w:rsidR="00236A6D" w:rsidRPr="001530D7" w:rsidRDefault="00AB6AEF">
      <w:pPr>
        <w:pStyle w:val="T30X"/>
        <w:rPr>
          <w:rFonts w:ascii="Arial" w:hAnsi="Arial" w:cs="Arial"/>
          <w:sz w:val="24"/>
          <w:szCs w:val="24"/>
          <w:lang w:val="sr-Latn-ME"/>
        </w:rPr>
      </w:pPr>
      <w:r w:rsidRPr="001530D7">
        <w:rPr>
          <w:rFonts w:ascii="Arial" w:hAnsi="Arial" w:cs="Arial"/>
          <w:sz w:val="24"/>
          <w:szCs w:val="24"/>
          <w:lang w:val="sr-Latn-ME"/>
        </w:rPr>
        <w:t>Elaborat na osnovu kojeg se izvode pripremni radovi (u daljem tekstu: elaborat) sadrži:</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1) šemu organizacije gradilišta;</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2) tekstualni dio.</w:t>
      </w:r>
    </w:p>
    <w:p w:rsidR="00236A6D" w:rsidRPr="001530D7" w:rsidRDefault="00AB6AEF">
      <w:pPr>
        <w:pStyle w:val="C30X"/>
        <w:rPr>
          <w:rFonts w:ascii="Arial" w:hAnsi="Arial" w:cs="Arial"/>
          <w:lang w:val="sr-Latn-ME"/>
        </w:rPr>
      </w:pPr>
      <w:bookmarkStart w:id="0" w:name="_Hlk212550028"/>
      <w:r w:rsidRPr="001530D7">
        <w:rPr>
          <w:rFonts w:ascii="Arial" w:hAnsi="Arial" w:cs="Arial"/>
          <w:lang w:val="sr-Latn-ME"/>
        </w:rPr>
        <w:t>Član 3</w:t>
      </w:r>
    </w:p>
    <w:p w:rsidR="00236A6D" w:rsidRPr="001530D7" w:rsidRDefault="00AB6AEF">
      <w:pPr>
        <w:pStyle w:val="T30X"/>
        <w:rPr>
          <w:rFonts w:ascii="Arial" w:hAnsi="Arial" w:cs="Arial"/>
          <w:sz w:val="24"/>
          <w:szCs w:val="24"/>
          <w:lang w:val="sr-Latn-ME"/>
        </w:rPr>
      </w:pPr>
      <w:r w:rsidRPr="001530D7">
        <w:rPr>
          <w:rFonts w:ascii="Arial" w:hAnsi="Arial" w:cs="Arial"/>
          <w:sz w:val="24"/>
          <w:szCs w:val="24"/>
          <w:lang w:val="sr-Latn-ME"/>
        </w:rPr>
        <w:t>Šema organizacije gradilišta sastoji se od grafičkog prikaza koji se izrađuje u razmjeri 1:200 do 1:1000.</w:t>
      </w:r>
    </w:p>
    <w:p w:rsidR="00236A6D" w:rsidRPr="001530D7" w:rsidRDefault="00AB6AEF">
      <w:pPr>
        <w:pStyle w:val="T30X"/>
        <w:rPr>
          <w:rFonts w:ascii="Arial" w:hAnsi="Arial" w:cs="Arial"/>
          <w:sz w:val="24"/>
          <w:szCs w:val="24"/>
          <w:lang w:val="sr-Latn-ME"/>
        </w:rPr>
      </w:pPr>
      <w:r w:rsidRPr="001530D7">
        <w:rPr>
          <w:rFonts w:ascii="Arial" w:hAnsi="Arial" w:cs="Arial"/>
          <w:sz w:val="24"/>
          <w:szCs w:val="24"/>
          <w:lang w:val="sr-Latn-ME"/>
        </w:rPr>
        <w:t>Grafički prikaz iz stava 1 ovog člana sadrži:</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1) prikaz objekata na kome se izvode radovi;</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2) radni položaj sredstava za rad za izvođenje radova koji se postavljaju na objekat ili neposredno uz njega, sa ucrtanim manevarskim zonama kod okretnih sredstava za rad, odnosno sa ucrtanim manipulacionim zonama kod dizalica uz šematski prikaz mjera (linije zaštitne ograde, šeme prepreka, zaštitne nadstrešnice);</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3) lokacije privremenih objekata sa mjerama za siguran prilaz pri korišćenju i održavanju;</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4) trase bezbjednih saobraćajnica za kretanje, sredstava mehanizacije i prikaz staza za kretanje zaposlenih u krugu gradilišta i pristupnih puteva gradilištu;</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5) prikaz mjesta za parkiranje i mjesta za opravku i održavanje vozila i sredstava mehanizacije i gradilišne opreme sa pripadajućim radionicama, magacinima i uređajima i mjerama za sigurno korišćenje;</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6) prikaz mjesta za dopremu materijala i gotovih proizvoda za obradu drveta, mineralnih sirovina, čelika, spravljanje betona, izradu betonskih elemenata i bravarskih proizvoda;</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7) prikaz skladišta montažnih gotovih elemenata, prostora za smještaj građevinskog materijala, prostora za smještaj građevinskog otpada i elemenata sa sredstvima za rad za manipulaciju (doprema, skladištenje, utovar, odvoz), kao i mjera za bezbjednost okoline i mjera za sigurno korišćenje i održavanje gradilišnih staza i prolaza;</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8) prikaz skladišta tečnih goriva, tehničkih gasova i zapaljivih materijala sa mjerama za sigurno korišćenje i održavanje;</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9) prikaz objekata, instalacija i vodova električne energije visokog i niskog napona, rasvjete na mjestima rada i kretanja zaposlenih i duž trase gradilišnog saobraćaja, a u slučaju noćnog rada i prikaz mjera zaštite za sigurno korišćenje i održavanje i zaštitu zaposlenih i sredstava mehanizacije od opasnog dejstva električne struje;</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10) mrežu pitke, tehničke i otpadnih voda sa objektima i uređajima za korišćenje i održavanje i mjere za sprječavanje pristupa nepoželjnih lica;</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11) prikaz sanitarnih objekata postavljenih na lokacijama koje obezbjeđuju siguran pristup, korišćenje i održavanje i mjere za sprječavanje zagađenja okoline;</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lastRenderedPageBreak/>
        <w:t xml:space="preserve">   12) prikaz objekta za smještaj, ishranu, rekreaciju, presvlačenje, zagrijavanje i sušenje odjeće zaposlenih;</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13) situaciju zatečenih objekata unutar kruga gradilišta sa prikazom mjera zaštite zaposlenih, vozila i sredstava za rad na mehanizovani pogon od uticaja ili dejstva opasnog objekta (električni dalekovodi, cjevovodi pod pritiskom, građevinski i drugi objekti podložni padu), kao i mjere obezbjeđenja ovih objekata od radova i gradilišnog saobraćaja;</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14) granice gradilišnog područja, odnosno kruga gradilišta sa znacima opasnosti i mjerama za sprječavanje pristupa nezaposlenim licima, životinjama, vozilima koje ne pripadaju gradilištu i vrstu ograde.</w:t>
      </w:r>
    </w:p>
    <w:p w:rsidR="00236A6D" w:rsidRPr="001530D7" w:rsidRDefault="00AB6AEF">
      <w:pPr>
        <w:pStyle w:val="C30X"/>
        <w:rPr>
          <w:rFonts w:ascii="Arial" w:hAnsi="Arial" w:cs="Arial"/>
          <w:lang w:val="sr-Latn-ME"/>
        </w:rPr>
      </w:pPr>
      <w:bookmarkStart w:id="1" w:name="_Hlk212550224"/>
      <w:bookmarkStart w:id="2" w:name="_GoBack"/>
      <w:bookmarkEnd w:id="0"/>
      <w:r w:rsidRPr="001530D7">
        <w:rPr>
          <w:rFonts w:ascii="Arial" w:hAnsi="Arial" w:cs="Arial"/>
          <w:lang w:val="sr-Latn-ME"/>
        </w:rPr>
        <w:t>Član 4</w:t>
      </w:r>
    </w:p>
    <w:p w:rsidR="00236A6D" w:rsidRPr="001530D7" w:rsidRDefault="00AB6AEF">
      <w:pPr>
        <w:pStyle w:val="T30X"/>
        <w:rPr>
          <w:rFonts w:ascii="Arial" w:hAnsi="Arial" w:cs="Arial"/>
          <w:sz w:val="24"/>
          <w:szCs w:val="24"/>
          <w:lang w:val="sr-Latn-ME"/>
        </w:rPr>
      </w:pPr>
      <w:r w:rsidRPr="001530D7">
        <w:rPr>
          <w:rFonts w:ascii="Arial" w:hAnsi="Arial" w:cs="Arial"/>
          <w:sz w:val="24"/>
          <w:szCs w:val="24"/>
          <w:lang w:val="sr-Latn-ME"/>
        </w:rPr>
        <w:t>Tekstualni dio elaborata sadrži:</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1) opis i mjere iz šeme organizacije gradilišta iz člana 3 ovog pravilnika;</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2) tehnički izvještaj sa redosljedom i opisom načina i organizacije izvođenja radova;</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3) sadržaj i obim istraživanja terena prije početka radova, ako se utvrdi prisustvo opasnih predmeta, odnosno materija i mjera za njihovo stručno uklanjanje;</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4) način obezbjeđenja gradilišta koje se ne može u potpunosti ograditi i postavljanje prepreka na prilazima sa znacima upozorenja i opasnosti;</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5) mjere zaštite nezaštićenih djelova susjednih objekata, električnih kablova pod naponom, cjevovoda pod pritiskom, prolaza i mjesta rada zaposlenih i javnih saobraćajnica koje se nalaze u manipulacionom prostoru dizalice (prostor ograničen najvišim i najnižim položajem zahvatnog sredstva kao i njegovim krajnjim položajima na oba kraja dizalične staze, ako postoji);</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6) način usmjeravanja saobraćaja i pješaka na bezbjednu stranu ili postavljanje zaštitne ograde oko ugroženog prostora, odnosno podizanje zaštitne ograde ako se ne može izbjeći kretanje djelova sredstava za rad izvan gradilišnog prostora (manevarski prostor sredstava za rad izlazi izvan gradilišnog prostora), na način da se zaštitne zapreke za zaštitu od padajućih djelova izrađuju na osnovu projekta koji sadrži statički proračun, crteže za izvođenje, uputstvo za montažu i demontažu i opis mjera za pravilno usmjeravanje saobraćaja, signalizacija i osvjetljenje u toku upotrebe;</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7) način postavljanja konstrukcija za zaštitu od obrušavanja zemljanog materijala i drugih deformacija tla ili za zaštitu od nepovoljnog dejstva površinskih i podzemnih voda kod radova u iskopima;</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8) mjere u slučaju rušenja objekata koji se nalaze na lokaciji za izvođenje pripremnih radova;</w:t>
      </w:r>
    </w:p>
    <w:p w:rsidR="00236A6D" w:rsidRPr="001530D7" w:rsidRDefault="00AB6AEF">
      <w:pPr>
        <w:pStyle w:val="T30X"/>
        <w:ind w:left="567" w:hanging="283"/>
        <w:rPr>
          <w:rFonts w:ascii="Arial" w:hAnsi="Arial" w:cs="Arial"/>
          <w:sz w:val="24"/>
          <w:szCs w:val="24"/>
          <w:lang w:val="sr-Latn-ME"/>
        </w:rPr>
      </w:pPr>
      <w:r w:rsidRPr="001530D7">
        <w:rPr>
          <w:rFonts w:ascii="Arial" w:hAnsi="Arial" w:cs="Arial"/>
          <w:sz w:val="24"/>
          <w:szCs w:val="24"/>
          <w:lang w:val="sr-Latn-ME"/>
        </w:rPr>
        <w:t xml:space="preserve">   9) mjere u slučaju prekida radova (sprečavanje prilaza gradilištu nezaposlenim licima, životinjama i saobraćajnim sredstvima).</w:t>
      </w:r>
    </w:p>
    <w:bookmarkEnd w:id="1"/>
    <w:bookmarkEnd w:id="2"/>
    <w:p w:rsidR="00236A6D" w:rsidRPr="001530D7" w:rsidRDefault="00AB6AEF">
      <w:pPr>
        <w:pStyle w:val="C30X"/>
        <w:rPr>
          <w:rFonts w:ascii="Arial" w:hAnsi="Arial" w:cs="Arial"/>
          <w:lang w:val="sr-Latn-ME"/>
        </w:rPr>
      </w:pPr>
      <w:r w:rsidRPr="001530D7">
        <w:rPr>
          <w:rFonts w:ascii="Arial" w:hAnsi="Arial" w:cs="Arial"/>
          <w:lang w:val="sr-Latn-ME"/>
        </w:rPr>
        <w:t>Član 5</w:t>
      </w:r>
    </w:p>
    <w:p w:rsidR="00236A6D" w:rsidRPr="001530D7" w:rsidRDefault="00AB6AEF">
      <w:pPr>
        <w:pStyle w:val="T30X"/>
        <w:rPr>
          <w:rFonts w:ascii="Arial" w:hAnsi="Arial" w:cs="Arial"/>
          <w:sz w:val="24"/>
          <w:szCs w:val="24"/>
          <w:lang w:val="sr-Latn-ME"/>
        </w:rPr>
      </w:pPr>
      <w:r w:rsidRPr="001530D7">
        <w:rPr>
          <w:rFonts w:ascii="Arial" w:hAnsi="Arial" w:cs="Arial"/>
          <w:sz w:val="24"/>
          <w:szCs w:val="24"/>
          <w:lang w:val="sr-Latn-ME"/>
        </w:rPr>
        <w:t>Na lokacijama na kojima se grade objekti koji predstavljaju zaokruženu funkcionalnu cjelinu (veći turistički kompleksi, industrijski objekti, proizvodni sistemi), koje su obuhvaćene planskim dokumentom za koji je urađena strateška procjena uticaja na životnu sredinu, elaborat može da sadrži i područje neophodno za infrastrukturno opremanje prostora.</w:t>
      </w:r>
    </w:p>
    <w:p w:rsidR="00236A6D" w:rsidRPr="001530D7" w:rsidRDefault="00AB6AEF">
      <w:pPr>
        <w:pStyle w:val="C30X"/>
        <w:rPr>
          <w:rFonts w:ascii="Arial" w:hAnsi="Arial" w:cs="Arial"/>
          <w:lang w:val="sr-Latn-ME"/>
        </w:rPr>
      </w:pPr>
      <w:r w:rsidRPr="001530D7">
        <w:rPr>
          <w:rFonts w:ascii="Arial" w:hAnsi="Arial" w:cs="Arial"/>
          <w:lang w:val="sr-Latn-ME"/>
        </w:rPr>
        <w:t>Član 6</w:t>
      </w:r>
    </w:p>
    <w:p w:rsidR="00236A6D" w:rsidRPr="001530D7" w:rsidRDefault="00AB6AEF">
      <w:pPr>
        <w:pStyle w:val="T30X"/>
        <w:rPr>
          <w:rFonts w:ascii="Arial" w:hAnsi="Arial" w:cs="Arial"/>
          <w:sz w:val="24"/>
          <w:szCs w:val="24"/>
          <w:lang w:val="sr-Latn-ME"/>
        </w:rPr>
      </w:pPr>
      <w:r w:rsidRPr="001530D7">
        <w:rPr>
          <w:rFonts w:ascii="Arial" w:hAnsi="Arial" w:cs="Arial"/>
          <w:sz w:val="24"/>
          <w:szCs w:val="24"/>
          <w:lang w:val="sr-Latn-ME"/>
        </w:rPr>
        <w:t xml:space="preserve">Danom stupanja na snagu ovog pravilnika prestaje da važi Pravilnik o sadržaju </w:t>
      </w:r>
      <w:bookmarkStart w:id="3" w:name="_Hlk212549983"/>
      <w:r w:rsidRPr="001530D7">
        <w:rPr>
          <w:rFonts w:ascii="Arial" w:hAnsi="Arial" w:cs="Arial"/>
          <w:sz w:val="24"/>
          <w:szCs w:val="24"/>
          <w:lang w:val="sr-Latn-ME"/>
        </w:rPr>
        <w:t xml:space="preserve">elaborata o pripremnim radovima </w:t>
      </w:r>
      <w:bookmarkEnd w:id="3"/>
      <w:r w:rsidRPr="001530D7">
        <w:rPr>
          <w:rFonts w:ascii="Arial" w:hAnsi="Arial" w:cs="Arial"/>
          <w:sz w:val="24"/>
          <w:szCs w:val="24"/>
          <w:lang w:val="sr-Latn-ME"/>
        </w:rPr>
        <w:t>("Službeni list CG", broj 80/08).</w:t>
      </w:r>
    </w:p>
    <w:p w:rsidR="00236A6D" w:rsidRPr="001530D7" w:rsidRDefault="00AB6AEF">
      <w:pPr>
        <w:pStyle w:val="C30X"/>
        <w:rPr>
          <w:rFonts w:ascii="Arial" w:hAnsi="Arial" w:cs="Arial"/>
          <w:lang w:val="sr-Latn-ME"/>
        </w:rPr>
      </w:pPr>
      <w:r w:rsidRPr="001530D7">
        <w:rPr>
          <w:rFonts w:ascii="Arial" w:hAnsi="Arial" w:cs="Arial"/>
          <w:lang w:val="sr-Latn-ME"/>
        </w:rPr>
        <w:t>Član 7</w:t>
      </w:r>
    </w:p>
    <w:p w:rsidR="00236A6D" w:rsidRPr="001530D7" w:rsidRDefault="00AB6AEF">
      <w:pPr>
        <w:pStyle w:val="T30X"/>
        <w:rPr>
          <w:rFonts w:ascii="Arial" w:hAnsi="Arial" w:cs="Arial"/>
          <w:sz w:val="24"/>
          <w:szCs w:val="24"/>
          <w:lang w:val="sr-Latn-ME"/>
        </w:rPr>
      </w:pPr>
      <w:r w:rsidRPr="001530D7">
        <w:rPr>
          <w:rFonts w:ascii="Arial" w:hAnsi="Arial" w:cs="Arial"/>
          <w:sz w:val="24"/>
          <w:szCs w:val="24"/>
          <w:lang w:val="sr-Latn-ME"/>
        </w:rPr>
        <w:t>Ovaj pravilnik stupa na snagu osmog dana od dana objavljivanja u "Službenom listu Crne Gore".</w:t>
      </w:r>
    </w:p>
    <w:p w:rsidR="00236A6D" w:rsidRPr="001530D7" w:rsidRDefault="00AB6AEF">
      <w:pPr>
        <w:pStyle w:val="N01Z"/>
        <w:rPr>
          <w:rFonts w:ascii="Arial" w:hAnsi="Arial" w:cs="Arial"/>
          <w:sz w:val="24"/>
          <w:szCs w:val="24"/>
          <w:lang w:val="sr-Latn-ME"/>
        </w:rPr>
      </w:pPr>
      <w:r w:rsidRPr="001530D7">
        <w:rPr>
          <w:rFonts w:ascii="Arial" w:hAnsi="Arial" w:cs="Arial"/>
          <w:sz w:val="24"/>
          <w:szCs w:val="24"/>
          <w:lang w:val="sr-Latn-ME"/>
        </w:rPr>
        <w:t>Broj: 06-333/25-4598/3</w:t>
      </w:r>
    </w:p>
    <w:p w:rsidR="00236A6D" w:rsidRPr="001530D7" w:rsidRDefault="00AB6AEF">
      <w:pPr>
        <w:pStyle w:val="N01Z"/>
        <w:rPr>
          <w:rFonts w:ascii="Arial" w:hAnsi="Arial" w:cs="Arial"/>
          <w:sz w:val="24"/>
          <w:szCs w:val="24"/>
          <w:lang w:val="sr-Latn-ME"/>
        </w:rPr>
      </w:pPr>
      <w:r w:rsidRPr="001530D7">
        <w:rPr>
          <w:rFonts w:ascii="Arial" w:hAnsi="Arial" w:cs="Arial"/>
          <w:sz w:val="24"/>
          <w:szCs w:val="24"/>
          <w:lang w:val="sr-Latn-ME"/>
        </w:rPr>
        <w:lastRenderedPageBreak/>
        <w:t>Podgorica, 5. maja 2025. godine</w:t>
      </w:r>
    </w:p>
    <w:p w:rsidR="00236A6D" w:rsidRPr="001530D7" w:rsidRDefault="00AB6AEF">
      <w:pPr>
        <w:pStyle w:val="N01Z"/>
        <w:rPr>
          <w:rFonts w:ascii="Arial" w:hAnsi="Arial" w:cs="Arial"/>
          <w:sz w:val="24"/>
          <w:szCs w:val="24"/>
          <w:lang w:val="sr-Latn-ME"/>
        </w:rPr>
      </w:pPr>
      <w:r w:rsidRPr="001530D7">
        <w:rPr>
          <w:rFonts w:ascii="Arial" w:hAnsi="Arial" w:cs="Arial"/>
          <w:sz w:val="24"/>
          <w:szCs w:val="24"/>
          <w:lang w:val="sr-Latn-ME"/>
        </w:rPr>
        <w:t>Ministar,</w:t>
      </w:r>
    </w:p>
    <w:p w:rsidR="00AB6AEF" w:rsidRPr="001530D7" w:rsidRDefault="00AB6AEF">
      <w:pPr>
        <w:pStyle w:val="N01Z"/>
        <w:rPr>
          <w:rFonts w:ascii="Arial" w:hAnsi="Arial" w:cs="Arial"/>
          <w:sz w:val="24"/>
          <w:szCs w:val="24"/>
          <w:lang w:val="sr-Latn-ME"/>
        </w:rPr>
      </w:pPr>
      <w:r w:rsidRPr="001530D7">
        <w:rPr>
          <w:rFonts w:ascii="Arial" w:hAnsi="Arial" w:cs="Arial"/>
          <w:sz w:val="24"/>
          <w:szCs w:val="24"/>
          <w:lang w:val="sr-Latn-ME"/>
        </w:rPr>
        <w:t>Slaven Radunović, s.r.</w:t>
      </w:r>
    </w:p>
    <w:sectPr w:rsidR="00AB6AEF" w:rsidRPr="001530D7">
      <w:headerReference w:type="even" r:id="rId6"/>
      <w:headerReference w:type="default" r:id="rId7"/>
      <w:footerReference w:type="even" r:id="rId8"/>
      <w:footerReference w:type="default" r:id="rId9"/>
      <w:pgSz w:w="11906" w:h="16838"/>
      <w:pgMar w:top="850" w:right="850" w:bottom="850" w:left="850"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563" w:rsidRDefault="00E61563">
      <w:r>
        <w:separator/>
      </w:r>
    </w:p>
  </w:endnote>
  <w:endnote w:type="continuationSeparator" w:id="0">
    <w:p w:rsidR="00E61563" w:rsidRDefault="00E6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236A6D">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236A6D" w:rsidRDefault="00E61563">
          <w:pPr>
            <w:pStyle w:val="Fotter"/>
          </w:pPr>
          <w:hyperlink w:anchor="http___www_katalogpropisa_me" w:history="1">
            <w:proofErr w:type="spellStart"/>
            <w:r w:rsidR="00AB6AEF">
              <w:rPr>
                <w:rStyle w:val="Hyperlink"/>
              </w:rPr>
              <w:t>Pravni</w:t>
            </w:r>
            <w:proofErr w:type="spellEnd"/>
            <w:r w:rsidR="00AB6AEF">
              <w:rPr>
                <w:rStyle w:val="Hyperlink"/>
              </w:rPr>
              <w:t xml:space="preserve"> </w:t>
            </w:r>
            <w:proofErr w:type="spellStart"/>
            <w:r w:rsidR="00AB6AEF">
              <w:rPr>
                <w:rStyle w:val="Hyperlink"/>
              </w:rPr>
              <w:t>ekspert</w:t>
            </w:r>
            <w:proofErr w:type="spellEnd"/>
            <w:r w:rsidR="00AB6AEF">
              <w:rPr>
                <w:rStyle w:val="Hyperlink"/>
              </w:rPr>
              <w:t xml:space="preserve">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236A6D" w:rsidRDefault="00AB6AEF">
          <w:pPr>
            <w:pStyle w:val="Fotter"/>
            <w:jc w:val="right"/>
          </w:pPr>
          <w:r>
            <w:fldChar w:fldCharType="begin"/>
          </w:r>
          <w:r>
            <w:instrText>PAGE</w:instrText>
          </w:r>
          <w:r>
            <w:fldChar w:fldCharType="separate"/>
          </w:r>
          <w:r>
            <w:t>&lt; Please update this field. &gt;</w:t>
          </w:r>
          <w: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236A6D">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236A6D" w:rsidRDefault="00E61563">
          <w:pPr>
            <w:pStyle w:val="Fotter"/>
          </w:pPr>
          <w:hyperlink w:anchor="http___www_katalogpropisa_me" w:history="1">
            <w:proofErr w:type="spellStart"/>
            <w:r w:rsidR="00AB6AEF">
              <w:rPr>
                <w:rStyle w:val="Hyperlink"/>
              </w:rPr>
              <w:t>Pravni</w:t>
            </w:r>
            <w:proofErr w:type="spellEnd"/>
            <w:r w:rsidR="00AB6AEF">
              <w:rPr>
                <w:rStyle w:val="Hyperlink"/>
              </w:rPr>
              <w:t xml:space="preserve"> </w:t>
            </w:r>
            <w:proofErr w:type="spellStart"/>
            <w:r w:rsidR="00AB6AEF">
              <w:rPr>
                <w:rStyle w:val="Hyperlink"/>
              </w:rPr>
              <w:t>ekspert</w:t>
            </w:r>
            <w:proofErr w:type="spellEnd"/>
            <w:r w:rsidR="00AB6AEF">
              <w:rPr>
                <w:rStyle w:val="Hyperlink"/>
              </w:rPr>
              <w:t xml:space="preserve">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236A6D" w:rsidRDefault="00AB6AEF">
          <w:pPr>
            <w:pStyle w:val="Fotter"/>
            <w:jc w:val="right"/>
          </w:pPr>
          <w:r>
            <w:fldChar w:fldCharType="begin"/>
          </w:r>
          <w:r>
            <w:instrText>PAGE</w:instrText>
          </w:r>
          <w:r>
            <w:fldChar w:fldCharType="separate"/>
          </w:r>
          <w:r>
            <w:t>&lt; Please update this field. &gt;</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563" w:rsidRDefault="00E61563">
      <w:r>
        <w:separator/>
      </w:r>
    </w:p>
  </w:footnote>
  <w:footnote w:type="continuationSeparator" w:id="0">
    <w:p w:rsidR="00E61563" w:rsidRDefault="00E61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A6D" w:rsidRDefault="00AB6AEF">
    <w:pPr>
      <w:pStyle w:val="Header"/>
    </w:pPr>
    <w:proofErr w:type="spellStart"/>
    <w:r>
      <w:t>Katalog</w:t>
    </w:r>
    <w:proofErr w:type="spellEnd"/>
    <w:r>
      <w:t xml:space="preserve"> </w:t>
    </w:r>
    <w:proofErr w:type="spellStart"/>
    <w:r>
      <w:t>propisa</w:t>
    </w:r>
    <w:proofErr w:type="spellEnd"/>
    <w: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A6D" w:rsidRDefault="00AB6AEF">
    <w:pPr>
      <w:pStyle w:val="Header"/>
    </w:pPr>
    <w:proofErr w:type="spellStart"/>
    <w:r>
      <w:t>Katalog</w:t>
    </w:r>
    <w:proofErr w:type="spellEnd"/>
    <w:r>
      <w:t xml:space="preserve"> </w:t>
    </w:r>
    <w:proofErr w:type="spellStart"/>
    <w:r>
      <w:t>propisa</w:t>
    </w:r>
    <w:proofErr w:type="spellEnd"/>
    <w: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AC"/>
    <w:rsid w:val="001530D7"/>
    <w:rsid w:val="00236A6D"/>
    <w:rsid w:val="00AB6AEF"/>
    <w:rsid w:val="00BB19B1"/>
    <w:rsid w:val="00E61563"/>
    <w:rsid w:val="00E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762BCA-DE64-4797-90E4-91432D99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autoSpaceDE w:val="0"/>
      <w:autoSpaceDN w:val="0"/>
      <w:adjustRightInd w:val="0"/>
      <w:spacing w:after="0" w:line="240" w:lineRule="auto"/>
    </w:pPr>
    <w:rPr>
      <w:rFonts w:ascii="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rPr>
      <w:rFonts w:ascii="Times New Roman" w:hAnsi="Times New Roman" w:cs="Times New Roman"/>
      <w:color w:val="000000"/>
      <w:sz w:val="20"/>
      <w:szCs w:val="20"/>
    </w:rPr>
  </w:style>
  <w:style w:type="character" w:styleId="Hyperlink">
    <w:name w:val="Hyperlink"/>
    <w:basedOn w:val="DefaultParagraphFont0"/>
    <w:uiPriority w:val="99"/>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Tatjana Vujosevic</cp:lastModifiedBy>
  <cp:revision>3</cp:revision>
  <dcterms:created xsi:type="dcterms:W3CDTF">2025-10-27T07:53:00Z</dcterms:created>
  <dcterms:modified xsi:type="dcterms:W3CDTF">2025-10-28T12:24:00Z</dcterms:modified>
</cp:coreProperties>
</file>